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357" w:rsidRPr="00156175" w:rsidRDefault="00723357" w:rsidP="00723357">
      <w:pPr>
        <w:tabs>
          <w:tab w:val="left" w:pos="851"/>
          <w:tab w:val="left" w:pos="4200"/>
        </w:tabs>
        <w:spacing w:after="240"/>
        <w:ind w:firstLine="567"/>
        <w:contextualSpacing/>
        <w:jc w:val="center"/>
        <w:rPr>
          <w:rFonts w:ascii="Times New Roman" w:hAnsi="Times New Roman"/>
          <w:b/>
          <w:sz w:val="24"/>
          <w:szCs w:val="24"/>
        </w:rPr>
      </w:pPr>
      <w:r w:rsidRPr="00156175">
        <w:rPr>
          <w:rFonts w:ascii="Times New Roman" w:hAnsi="Times New Roman"/>
          <w:b/>
          <w:sz w:val="24"/>
          <w:szCs w:val="24"/>
        </w:rPr>
        <w:t>Prekėms taikomų aplinkos apsaugos kriterijų atitikimo reikalavimai</w:t>
      </w:r>
    </w:p>
    <w:p w:rsidR="00723357" w:rsidRPr="00156175" w:rsidRDefault="00723357" w:rsidP="00723357">
      <w:pPr>
        <w:tabs>
          <w:tab w:val="left" w:pos="851"/>
          <w:tab w:val="left" w:pos="4200"/>
        </w:tabs>
        <w:spacing w:after="240"/>
        <w:ind w:firstLine="567"/>
        <w:contextualSpacing/>
        <w:jc w:val="center"/>
        <w:rPr>
          <w:rFonts w:ascii="Times New Roman" w:hAnsi="Times New Roman"/>
          <w:b/>
          <w:sz w:val="24"/>
          <w:szCs w:val="24"/>
        </w:rPr>
      </w:pPr>
    </w:p>
    <w:p w:rsidR="00723357" w:rsidRPr="00CC5167" w:rsidRDefault="00723357" w:rsidP="00723357">
      <w:pPr>
        <w:tabs>
          <w:tab w:val="left" w:pos="851"/>
          <w:tab w:val="left" w:pos="4200"/>
        </w:tabs>
        <w:spacing w:after="240"/>
        <w:ind w:firstLine="567"/>
        <w:contextualSpacing/>
        <w:jc w:val="both"/>
        <w:rPr>
          <w:rFonts w:ascii="Times New Roman" w:hAnsi="Times New Roman"/>
          <w:sz w:val="24"/>
          <w:szCs w:val="24"/>
        </w:rPr>
      </w:pPr>
      <w:r w:rsidRPr="00156175">
        <w:rPr>
          <w:rFonts w:ascii="Times New Roman" w:hAnsi="Times New Roman"/>
          <w:sz w:val="24"/>
          <w:szCs w:val="24"/>
        </w:rPr>
        <w:t xml:space="preserve">1. Vadovaujantis Lietuvos Respublikos aplinkos ministro 2011 m. birželio 28 d. įsakymu Nr. D1-508 (2022 m. gruodžio 13 d. įsakymo Nr. D1-401 redakcija) patvirtintu </w:t>
      </w:r>
      <w:r w:rsidRPr="00156175">
        <w:rPr>
          <w:rFonts w:ascii="Times New Roman" w:hAnsi="Times New Roman"/>
          <w:bCs/>
          <w:sz w:val="24"/>
          <w:szCs w:val="24"/>
        </w:rPr>
        <w:t xml:space="preserve">Aplinkos apsaugos kriterijų taikymo, vykdant žaliuosius pirkimus, tvarkos aprašo </w:t>
      </w:r>
      <w:r w:rsidR="00E82197">
        <w:rPr>
          <w:rFonts w:ascii="Times New Roman" w:hAnsi="Times New Roman"/>
          <w:bCs/>
          <w:sz w:val="24"/>
          <w:szCs w:val="24"/>
        </w:rPr>
        <w:t>pirmu</w:t>
      </w:r>
      <w:bookmarkStart w:id="0" w:name="_GoBack"/>
      <w:bookmarkEnd w:id="0"/>
      <w:r w:rsidRPr="00156175">
        <w:rPr>
          <w:rFonts w:ascii="Times New Roman" w:hAnsi="Times New Roman"/>
          <w:bCs/>
          <w:sz w:val="24"/>
          <w:szCs w:val="24"/>
        </w:rPr>
        <w:t xml:space="preserve"> skyriumi, </w:t>
      </w:r>
      <w:r w:rsidRPr="00156175">
        <w:rPr>
          <w:rFonts w:ascii="Times New Roman" w:hAnsi="Times New Roman"/>
          <w:b/>
          <w:bCs/>
          <w:sz w:val="24"/>
          <w:szCs w:val="24"/>
        </w:rPr>
        <w:t xml:space="preserve">taikomi </w:t>
      </w:r>
      <w:r w:rsidRPr="00156175">
        <w:rPr>
          <w:rFonts w:ascii="Times New Roman" w:hAnsi="Times New Roman"/>
          <w:b/>
          <w:sz w:val="24"/>
          <w:szCs w:val="24"/>
        </w:rPr>
        <w:t xml:space="preserve">žalieji reikalavimai: </w:t>
      </w:r>
      <w:r w:rsidRPr="00156175">
        <w:rPr>
          <w:rFonts w:ascii="Times New Roman" w:hAnsi="Times New Roman"/>
          <w:sz w:val="24"/>
          <w:szCs w:val="24"/>
        </w:rPr>
        <w:tab/>
      </w:r>
      <w:r>
        <w:rPr>
          <w:rFonts w:ascii="Times New Roman" w:hAnsi="Times New Roman"/>
          <w:sz w:val="24"/>
          <w:szCs w:val="24"/>
        </w:rPr>
        <w:t xml:space="preserve">                                                                     </w:t>
      </w:r>
    </w:p>
    <w:tbl>
      <w:tblPr>
        <w:tblStyle w:val="SmartTextTable1"/>
        <w:tblW w:w="15021" w:type="dxa"/>
        <w:tblInd w:w="0" w:type="dxa"/>
        <w:tblLook w:val="04A0" w:firstRow="1" w:lastRow="0" w:firstColumn="1" w:lastColumn="0" w:noHBand="0" w:noVBand="1"/>
      </w:tblPr>
      <w:tblGrid>
        <w:gridCol w:w="576"/>
        <w:gridCol w:w="6082"/>
        <w:gridCol w:w="8363"/>
      </w:tblGrid>
      <w:tr w:rsidR="00723357" w:rsidRPr="00156175" w:rsidTr="008C3E67">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spacing w:line="259" w:lineRule="auto"/>
              <w:rPr>
                <w:rFonts w:eastAsiaTheme="minorHAnsi" w:hAnsi="Times New Roman"/>
                <w:b/>
                <w:noProof/>
                <w:color w:val="000000" w:themeColor="text1"/>
                <w:sz w:val="24"/>
                <w:szCs w:val="24"/>
              </w:rPr>
            </w:pPr>
            <w:r w:rsidRPr="00156175">
              <w:rPr>
                <w:rFonts w:eastAsiaTheme="minorHAnsi" w:hAnsi="Times New Roman"/>
                <w:b/>
                <w:noProof/>
                <w:color w:val="000000" w:themeColor="text1"/>
                <w:sz w:val="24"/>
                <w:szCs w:val="24"/>
              </w:rPr>
              <w:t xml:space="preserve">Eil. Nr. </w:t>
            </w:r>
          </w:p>
        </w:tc>
        <w:tc>
          <w:tcPr>
            <w:tcW w:w="6082"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sidRPr="00156175">
              <w:rPr>
                <w:rFonts w:eastAsiaTheme="minorHAnsi" w:hAnsi="Times New Roman"/>
                <w:b/>
                <w:noProof/>
                <w:color w:val="000000" w:themeColor="text1"/>
                <w:sz w:val="24"/>
                <w:szCs w:val="24"/>
              </w:rPr>
              <w:t>Aplinkos apsaugos reikalavimas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tabs>
                <w:tab w:val="left" w:pos="420"/>
              </w:tabs>
              <w:spacing w:after="160" w:line="259" w:lineRule="auto"/>
              <w:jc w:val="center"/>
              <w:rPr>
                <w:rFonts w:eastAsiaTheme="minorHAnsi" w:hAnsi="Times New Roman"/>
                <w:b/>
                <w:iCs/>
                <w:noProof/>
                <w:color w:val="000000" w:themeColor="text1"/>
                <w:sz w:val="24"/>
                <w:szCs w:val="24"/>
              </w:rPr>
            </w:pPr>
            <w:r w:rsidRPr="00156175">
              <w:rPr>
                <w:rFonts w:eastAsiaTheme="minorHAnsi" w:hAnsi="Times New Roman"/>
                <w:b/>
                <w:iCs/>
                <w:noProof/>
                <w:color w:val="000000" w:themeColor="text1"/>
                <w:sz w:val="24"/>
                <w:szCs w:val="24"/>
              </w:rPr>
              <w:t>Atitiktį reikalavimams įrodantys dokumentai</w:t>
            </w:r>
          </w:p>
        </w:tc>
      </w:tr>
      <w:tr w:rsidR="00723357" w:rsidRPr="00156175" w:rsidTr="008C3E67">
        <w:trPr>
          <w:trHeight w:val="1218"/>
        </w:trPr>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1.1.</w:t>
            </w:r>
          </w:p>
        </w:tc>
        <w:tc>
          <w:tcPr>
            <w:tcW w:w="6082" w:type="dxa"/>
          </w:tcPr>
          <w:p w:rsidR="00723357" w:rsidRPr="00156175" w:rsidRDefault="00310B06" w:rsidP="008C3E67">
            <w:pPr>
              <w:spacing w:line="259" w:lineRule="auto"/>
              <w:jc w:val="both"/>
              <w:rPr>
                <w:rFonts w:hAnsi="Times New Roman"/>
                <w:sz w:val="24"/>
                <w:szCs w:val="24"/>
              </w:rPr>
            </w:pPr>
            <w:r>
              <w:rPr>
                <w:rFonts w:hAnsi="Times New Roman"/>
                <w:sz w:val="24"/>
                <w:szCs w:val="24"/>
              </w:rPr>
              <w:t>G</w:t>
            </w:r>
            <w:r w:rsidRPr="00310B06">
              <w:rPr>
                <w:rFonts w:hAnsi="Times New Roman"/>
                <w:sz w:val="24"/>
                <w:szCs w:val="24"/>
              </w:rPr>
              <w:t xml:space="preserve">aminys turi būti pagamintas iš 100 proc. perdirbto popieriaus (naudoto popieriaus ir (ar) gamybos atliekų) plaušų arba ne mažiau kaip 30 proc. pirminės medienos plaušų, gautų iš miškų, sertifikuotų naudojant </w:t>
            </w:r>
            <w:proofErr w:type="spellStart"/>
            <w:r w:rsidRPr="00310B06">
              <w:rPr>
                <w:rFonts w:hAnsi="Times New Roman"/>
                <w:sz w:val="24"/>
                <w:szCs w:val="24"/>
              </w:rPr>
              <w:t>Forest</w:t>
            </w:r>
            <w:proofErr w:type="spellEnd"/>
            <w:r w:rsidRPr="00310B06">
              <w:rPr>
                <w:rFonts w:hAnsi="Times New Roman"/>
                <w:sz w:val="24"/>
                <w:szCs w:val="24"/>
              </w:rPr>
              <w:t xml:space="preserve"> </w:t>
            </w:r>
            <w:proofErr w:type="spellStart"/>
            <w:r w:rsidRPr="00310B06">
              <w:rPr>
                <w:rFonts w:hAnsi="Times New Roman"/>
                <w:sz w:val="24"/>
                <w:szCs w:val="24"/>
              </w:rPr>
              <w:t>Stewardship</w:t>
            </w:r>
            <w:proofErr w:type="spellEnd"/>
            <w:r w:rsidRPr="00310B06">
              <w:rPr>
                <w:rFonts w:hAnsi="Times New Roman"/>
                <w:sz w:val="24"/>
                <w:szCs w:val="24"/>
              </w:rPr>
              <w:t xml:space="preserve"> </w:t>
            </w:r>
            <w:proofErr w:type="spellStart"/>
            <w:r w:rsidRPr="00310B06">
              <w:rPr>
                <w:rFonts w:hAnsi="Times New Roman"/>
                <w:sz w:val="24"/>
                <w:szCs w:val="24"/>
              </w:rPr>
              <w:t>Council</w:t>
            </w:r>
            <w:proofErr w:type="spellEnd"/>
            <w:r w:rsidRPr="00310B06">
              <w:rPr>
                <w:rFonts w:hAnsi="Times New Roman"/>
                <w:sz w:val="24"/>
                <w:szCs w:val="24"/>
              </w:rPr>
              <w:t xml:space="preserve"> (toliau – FSC) ar Miškų sertifikavimo sistemų pripažinimo programą (angl. </w:t>
            </w:r>
            <w:proofErr w:type="spellStart"/>
            <w:r w:rsidRPr="00310B06">
              <w:rPr>
                <w:rFonts w:hAnsi="Times New Roman"/>
                <w:sz w:val="24"/>
                <w:szCs w:val="24"/>
              </w:rPr>
              <w:t>Programme</w:t>
            </w:r>
            <w:proofErr w:type="spellEnd"/>
            <w:r w:rsidRPr="00310B06">
              <w:rPr>
                <w:rFonts w:hAnsi="Times New Roman"/>
                <w:sz w:val="24"/>
                <w:szCs w:val="24"/>
              </w:rPr>
              <w:t xml:space="preserve"> </w:t>
            </w:r>
            <w:proofErr w:type="spellStart"/>
            <w:r w:rsidRPr="00310B06">
              <w:rPr>
                <w:rFonts w:hAnsi="Times New Roman"/>
                <w:sz w:val="24"/>
                <w:szCs w:val="24"/>
              </w:rPr>
              <w:t>for</w:t>
            </w:r>
            <w:proofErr w:type="spellEnd"/>
            <w:r w:rsidRPr="00310B06">
              <w:rPr>
                <w:rFonts w:hAnsi="Times New Roman"/>
                <w:sz w:val="24"/>
                <w:szCs w:val="24"/>
              </w:rPr>
              <w:t xml:space="preserve"> </w:t>
            </w:r>
            <w:proofErr w:type="spellStart"/>
            <w:r w:rsidRPr="00310B06">
              <w:rPr>
                <w:rFonts w:hAnsi="Times New Roman"/>
                <w:sz w:val="24"/>
                <w:szCs w:val="24"/>
              </w:rPr>
              <w:t>the</w:t>
            </w:r>
            <w:proofErr w:type="spellEnd"/>
            <w:r w:rsidRPr="00310B06">
              <w:rPr>
                <w:rFonts w:hAnsi="Times New Roman"/>
                <w:sz w:val="24"/>
                <w:szCs w:val="24"/>
              </w:rPr>
              <w:t xml:space="preserve"> </w:t>
            </w:r>
            <w:proofErr w:type="spellStart"/>
            <w:r w:rsidRPr="00310B06">
              <w:rPr>
                <w:rFonts w:hAnsi="Times New Roman"/>
                <w:sz w:val="24"/>
                <w:szCs w:val="24"/>
              </w:rPr>
              <w:t>Endorsement</w:t>
            </w:r>
            <w:proofErr w:type="spellEnd"/>
            <w:r w:rsidRPr="00310B06">
              <w:rPr>
                <w:rFonts w:hAnsi="Times New Roman"/>
                <w:sz w:val="24"/>
                <w:szCs w:val="24"/>
              </w:rPr>
              <w:t xml:space="preserve"> </w:t>
            </w:r>
            <w:proofErr w:type="spellStart"/>
            <w:r w:rsidRPr="00310B06">
              <w:rPr>
                <w:rFonts w:hAnsi="Times New Roman"/>
                <w:sz w:val="24"/>
                <w:szCs w:val="24"/>
              </w:rPr>
              <w:t>of</w:t>
            </w:r>
            <w:proofErr w:type="spellEnd"/>
            <w:r w:rsidRPr="00310B06">
              <w:rPr>
                <w:rFonts w:hAnsi="Times New Roman"/>
                <w:sz w:val="24"/>
                <w:szCs w:val="24"/>
              </w:rPr>
              <w:t xml:space="preserve"> </w:t>
            </w:r>
            <w:proofErr w:type="spellStart"/>
            <w:r w:rsidRPr="00310B06">
              <w:rPr>
                <w:rFonts w:hAnsi="Times New Roman"/>
                <w:sz w:val="24"/>
                <w:szCs w:val="24"/>
              </w:rPr>
              <w:t>Forest</w:t>
            </w:r>
            <w:proofErr w:type="spellEnd"/>
            <w:r w:rsidRPr="00310B06">
              <w:rPr>
                <w:rFonts w:hAnsi="Times New Roman"/>
                <w:sz w:val="24"/>
                <w:szCs w:val="24"/>
              </w:rPr>
              <w:t xml:space="preserve"> </w:t>
            </w:r>
            <w:proofErr w:type="spellStart"/>
            <w:r w:rsidRPr="00310B06">
              <w:rPr>
                <w:rFonts w:hAnsi="Times New Roman"/>
                <w:sz w:val="24"/>
                <w:szCs w:val="24"/>
              </w:rPr>
              <w:t>Certification</w:t>
            </w:r>
            <w:proofErr w:type="spellEnd"/>
            <w:r w:rsidRPr="00310B06">
              <w:rPr>
                <w:rFonts w:hAnsi="Times New Roman"/>
                <w:sz w:val="24"/>
                <w:szCs w:val="24"/>
              </w:rPr>
              <w:t xml:space="preserve"> </w:t>
            </w:r>
            <w:proofErr w:type="spellStart"/>
            <w:r w:rsidRPr="00310B06">
              <w:rPr>
                <w:rFonts w:hAnsi="Times New Roman"/>
                <w:sz w:val="24"/>
                <w:szCs w:val="24"/>
              </w:rPr>
              <w:t>schemes</w:t>
            </w:r>
            <w:proofErr w:type="spellEnd"/>
            <w:r w:rsidRPr="00310B06">
              <w:rPr>
                <w:rFonts w:hAnsi="Times New Roman"/>
                <w:sz w:val="24"/>
                <w:szCs w:val="24"/>
              </w:rPr>
              <w:t xml:space="preserve"> (toliau – PEFC) arba lygiavertes miškų sertifikavimo sistemas, kita dalis – iš perdirbto popieriaus plaušų;</w:t>
            </w:r>
          </w:p>
        </w:tc>
        <w:tc>
          <w:tcPr>
            <w:tcW w:w="8363"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overflowPunct w:val="0"/>
              <w:autoSpaceDE w:val="0"/>
              <w:autoSpaceDN w:val="0"/>
              <w:adjustRightInd w:val="0"/>
              <w:spacing w:line="280" w:lineRule="exact"/>
              <w:ind w:left="34" w:hanging="6"/>
              <w:jc w:val="both"/>
              <w:rPr>
                <w:rFonts w:eastAsia="Times New Roman" w:hAnsi="Times New Roman"/>
                <w:b/>
                <w:sz w:val="24"/>
                <w:szCs w:val="24"/>
                <w:u w:val="single"/>
              </w:rPr>
            </w:pPr>
            <w:r w:rsidRPr="00156175">
              <w:rPr>
                <w:rFonts w:eastAsia="Times New Roman"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1.2.</w:t>
            </w:r>
          </w:p>
        </w:tc>
        <w:tc>
          <w:tcPr>
            <w:tcW w:w="6082" w:type="dxa"/>
          </w:tcPr>
          <w:p w:rsidR="00723357" w:rsidRPr="00156175" w:rsidRDefault="00310B06" w:rsidP="008C3E67">
            <w:pPr>
              <w:spacing w:line="259" w:lineRule="auto"/>
              <w:jc w:val="both"/>
              <w:rPr>
                <w:rFonts w:hAnsi="Times New Roman"/>
                <w:sz w:val="24"/>
                <w:szCs w:val="24"/>
              </w:rPr>
            </w:pPr>
            <w:r>
              <w:rPr>
                <w:rFonts w:hAnsi="Times New Roman"/>
                <w:sz w:val="24"/>
                <w:szCs w:val="24"/>
              </w:rPr>
              <w:t>G</w:t>
            </w:r>
            <w:r w:rsidRPr="00310B06">
              <w:rPr>
                <w:rFonts w:hAnsi="Times New Roman"/>
                <w:sz w:val="24"/>
                <w:szCs w:val="24"/>
              </w:rPr>
              <w:t>aminys turi būti nebalintas arba balintas nenaudojant chloro dujų.</w:t>
            </w:r>
          </w:p>
        </w:tc>
        <w:tc>
          <w:tcPr>
            <w:tcW w:w="8363"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overflowPunct w:val="0"/>
              <w:autoSpaceDE w:val="0"/>
              <w:autoSpaceDN w:val="0"/>
              <w:adjustRightInd w:val="0"/>
              <w:spacing w:line="280" w:lineRule="exact"/>
              <w:ind w:left="34" w:hanging="6"/>
              <w:jc w:val="both"/>
              <w:rPr>
                <w:rFonts w:eastAsia="Times New Roman" w:hAnsi="Times New Roman"/>
                <w:b/>
                <w:sz w:val="24"/>
                <w:szCs w:val="24"/>
                <w:u w:val="single"/>
              </w:rPr>
            </w:pPr>
            <w:r w:rsidRPr="00156175">
              <w:rPr>
                <w:rFonts w:eastAsia="Times New Roman"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Pr>
                <w:rFonts w:eastAsiaTheme="minorHAnsi" w:hAnsi="Times New Roman"/>
                <w:noProof/>
                <w:color w:val="000000" w:themeColor="text1"/>
                <w:sz w:val="24"/>
                <w:szCs w:val="24"/>
              </w:rPr>
              <w:t>1.</w:t>
            </w:r>
            <w:r w:rsidR="00310B06">
              <w:rPr>
                <w:rFonts w:eastAsiaTheme="minorHAnsi" w:hAnsi="Times New Roman"/>
                <w:noProof/>
                <w:color w:val="000000" w:themeColor="text1"/>
                <w:sz w:val="24"/>
                <w:szCs w:val="24"/>
              </w:rPr>
              <w:t>3</w:t>
            </w:r>
            <w:r>
              <w:rPr>
                <w:rFonts w:eastAsiaTheme="minorHAnsi" w:hAnsi="Times New Roman"/>
                <w:noProof/>
                <w:color w:val="000000" w:themeColor="text1"/>
                <w:sz w:val="24"/>
                <w:szCs w:val="24"/>
              </w:rPr>
              <w:t>.</w:t>
            </w:r>
          </w:p>
        </w:tc>
        <w:tc>
          <w:tcPr>
            <w:tcW w:w="6082" w:type="dxa"/>
          </w:tcPr>
          <w:p w:rsidR="00723357" w:rsidRPr="00EE1DF9" w:rsidRDefault="00723357" w:rsidP="008C3E67">
            <w:pPr>
              <w:spacing w:line="280" w:lineRule="exact"/>
              <w:jc w:val="both"/>
              <w:rPr>
                <w:rFonts w:hAnsi="Times New Roman"/>
                <w:sz w:val="24"/>
                <w:szCs w:val="24"/>
              </w:rPr>
            </w:pPr>
            <w:r w:rsidRPr="00EE1DF9">
              <w:rPr>
                <w:rFonts w:hAnsi="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2335"/>
              <w:gridCol w:w="2659"/>
            </w:tblGrid>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Eil. Nr.</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Pakuotės medžiaga</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Ženklinimas</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1.</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Stiklas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GL (arba GL nuo 70 iki 79)</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2.</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Metalas</w:t>
                  </w:r>
                </w:p>
              </w:tc>
              <w:tc>
                <w:tcPr>
                  <w:tcW w:w="2271" w:type="pct"/>
                  <w:tcMar>
                    <w:top w:w="0" w:type="dxa"/>
                    <w:left w:w="108" w:type="dxa"/>
                    <w:bottom w:w="0" w:type="dxa"/>
                    <w:right w:w="108" w:type="dxa"/>
                  </w:tcMar>
                  <w:hideMark/>
                </w:tcPr>
                <w:p w:rsidR="00723357" w:rsidRPr="00EE1DF9" w:rsidRDefault="00723357" w:rsidP="008C3E67">
                  <w:pPr>
                    <w:jc w:val="both"/>
                    <w:rPr>
                      <w:rFonts w:ascii="Times New Roman" w:eastAsia="Times New Roman" w:hAnsi="Times New Roman"/>
                      <w:sz w:val="24"/>
                      <w:szCs w:val="24"/>
                    </w:rPr>
                  </w:pPr>
                  <w:r w:rsidRPr="00EE1DF9">
                    <w:rPr>
                      <w:rFonts w:ascii="Times New Roman" w:eastAsia="Times New Roman" w:hAnsi="Times New Roman"/>
                      <w:color w:val="000000"/>
                    </w:rPr>
                    <w:t>FE (arba FE 40),ALU (arba ALU 41)Nuo 42 iki 49</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3.</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Popierius ar kartonas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PAP (arba PAP nuo 20 iki 39)</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4.</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Medis ar kamštinė medžiaga</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FOR (arba FOR nuo 50 iki 59)</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5.</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Medvilnė ar džiutas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TEX (arba TEX nuo 60 iki 69)</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6.</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proofErr w:type="spellStart"/>
                  <w:r w:rsidRPr="00EE1DF9">
                    <w:rPr>
                      <w:rFonts w:ascii="Times New Roman" w:eastAsia="Times New Roman" w:hAnsi="Times New Roman"/>
                      <w:color w:val="000000"/>
                    </w:rPr>
                    <w:t>Polietilentereftalatas</w:t>
                  </w:r>
                  <w:proofErr w:type="spellEnd"/>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PET arba PET 1</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lastRenderedPageBreak/>
                    <w:t>7.</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Aukšto tankumo polietilenas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HDPE (arba HDPE 2)</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8.</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proofErr w:type="spellStart"/>
                  <w:r w:rsidRPr="00EE1DF9">
                    <w:rPr>
                      <w:rFonts w:ascii="Times New Roman" w:eastAsia="Times New Roman" w:hAnsi="Times New Roman"/>
                      <w:color w:val="000000"/>
                    </w:rPr>
                    <w:t>Polivinilchloridas</w:t>
                  </w:r>
                  <w:proofErr w:type="spellEnd"/>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PVC (arba PVC 3)</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9.</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Žemo tankumo polietilenas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LDPE (arba LDPE 4)</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10.</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Polipropilenas</w:t>
                  </w:r>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PP (arba PP 5)</w:t>
                  </w:r>
                </w:p>
              </w:tc>
            </w:tr>
            <w:tr w:rsidR="00723357" w:rsidRPr="00EE1DF9" w:rsidTr="008C3E67">
              <w:tc>
                <w:tcPr>
                  <w:tcW w:w="736"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r w:rsidRPr="00EE1DF9">
                    <w:rPr>
                      <w:rFonts w:ascii="Times New Roman" w:eastAsia="Times New Roman" w:hAnsi="Times New Roman"/>
                      <w:color w:val="000000"/>
                    </w:rPr>
                    <w:t>11.</w:t>
                  </w:r>
                </w:p>
              </w:tc>
              <w:tc>
                <w:tcPr>
                  <w:tcW w:w="1994" w:type="pct"/>
                  <w:tcMar>
                    <w:top w:w="0" w:type="dxa"/>
                    <w:left w:w="108" w:type="dxa"/>
                    <w:bottom w:w="0" w:type="dxa"/>
                    <w:right w:w="108" w:type="dxa"/>
                  </w:tcMar>
                  <w:hideMark/>
                </w:tcPr>
                <w:p w:rsidR="00723357" w:rsidRPr="00EE1DF9" w:rsidRDefault="00723357" w:rsidP="008C3E67">
                  <w:pPr>
                    <w:spacing w:before="100" w:beforeAutospacing="1" w:after="100" w:afterAutospacing="1"/>
                    <w:rPr>
                      <w:rFonts w:ascii="Times New Roman" w:eastAsia="Times New Roman" w:hAnsi="Times New Roman"/>
                      <w:sz w:val="24"/>
                      <w:szCs w:val="24"/>
                    </w:rPr>
                  </w:pPr>
                  <w:proofErr w:type="spellStart"/>
                  <w:r w:rsidRPr="00EE1DF9">
                    <w:rPr>
                      <w:rFonts w:ascii="Times New Roman" w:eastAsia="Times New Roman" w:hAnsi="Times New Roman"/>
                      <w:color w:val="000000"/>
                    </w:rPr>
                    <w:t>Polistirenas</w:t>
                  </w:r>
                  <w:proofErr w:type="spellEnd"/>
                </w:p>
              </w:tc>
              <w:tc>
                <w:tcPr>
                  <w:tcW w:w="2271" w:type="pct"/>
                  <w:tcMar>
                    <w:top w:w="0" w:type="dxa"/>
                    <w:left w:w="108" w:type="dxa"/>
                    <w:bottom w:w="0" w:type="dxa"/>
                    <w:right w:w="108" w:type="dxa"/>
                  </w:tcMar>
                  <w:hideMark/>
                </w:tcPr>
                <w:p w:rsidR="00723357" w:rsidRPr="00EE1DF9" w:rsidRDefault="00723357" w:rsidP="008C3E67">
                  <w:pPr>
                    <w:spacing w:before="100" w:beforeAutospacing="1" w:after="100" w:afterAutospacing="1"/>
                    <w:jc w:val="both"/>
                    <w:rPr>
                      <w:rFonts w:ascii="Times New Roman" w:eastAsia="Times New Roman" w:hAnsi="Times New Roman"/>
                      <w:sz w:val="24"/>
                      <w:szCs w:val="24"/>
                    </w:rPr>
                  </w:pPr>
                  <w:r w:rsidRPr="00EE1DF9">
                    <w:rPr>
                      <w:rFonts w:ascii="Times New Roman" w:eastAsia="Times New Roman" w:hAnsi="Times New Roman"/>
                      <w:color w:val="000000"/>
                    </w:rPr>
                    <w:t>PS (arba PS 6)</w:t>
                  </w:r>
                </w:p>
              </w:tc>
            </w:tr>
          </w:tbl>
          <w:p w:rsidR="00723357" w:rsidRPr="00EE1DF9" w:rsidRDefault="00723357" w:rsidP="008C3E67">
            <w:pPr>
              <w:spacing w:line="280" w:lineRule="exact"/>
              <w:jc w:val="both"/>
              <w:rPr>
                <w:rFonts w:hAnsi="Times New Roman"/>
                <w:sz w:val="24"/>
                <w:szCs w:val="24"/>
              </w:rPr>
            </w:pPr>
          </w:p>
        </w:tc>
        <w:tc>
          <w:tcPr>
            <w:tcW w:w="8363" w:type="dxa"/>
          </w:tcPr>
          <w:p w:rsidR="00723357" w:rsidRDefault="00723357" w:rsidP="008C3E67">
            <w:pPr>
              <w:spacing w:after="160" w:line="259" w:lineRule="auto"/>
              <w:jc w:val="both"/>
              <w:rPr>
                <w:rFonts w:hAnsi="Times New Roman"/>
                <w:sz w:val="24"/>
                <w:szCs w:val="24"/>
              </w:rPr>
            </w:pPr>
            <w:r w:rsidRPr="008A2A3F">
              <w:rPr>
                <w:rFonts w:hAnsi="Times New Roman"/>
                <w:sz w:val="24"/>
                <w:szCs w:val="24"/>
              </w:rPr>
              <w:lastRenderedPageBreak/>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A2A3F">
              <w:rPr>
                <w:rFonts w:hAnsi="Times New Roman"/>
                <w:sz w:val="24"/>
                <w:szCs w:val="24"/>
              </w:rPr>
              <w:t>Voluntary</w:t>
            </w:r>
            <w:proofErr w:type="spellEnd"/>
            <w:r w:rsidRPr="008A2A3F">
              <w:rPr>
                <w:rFonts w:hAnsi="Times New Roman"/>
                <w:sz w:val="24"/>
                <w:szCs w:val="24"/>
              </w:rPr>
              <w:t xml:space="preserve"> Standard </w:t>
            </w:r>
            <w:proofErr w:type="spellStart"/>
            <w:r w:rsidRPr="008A2A3F">
              <w:rPr>
                <w:rFonts w:hAnsi="Times New Roman"/>
                <w:sz w:val="24"/>
                <w:szCs w:val="24"/>
              </w:rPr>
              <w:t>for</w:t>
            </w:r>
            <w:proofErr w:type="spellEnd"/>
            <w:r w:rsidRPr="008A2A3F">
              <w:rPr>
                <w:rFonts w:hAnsi="Times New Roman"/>
                <w:sz w:val="24"/>
                <w:szCs w:val="24"/>
              </w:rPr>
              <w:t xml:space="preserve"> </w:t>
            </w:r>
            <w:proofErr w:type="spellStart"/>
            <w:r w:rsidRPr="008A2A3F">
              <w:rPr>
                <w:rFonts w:hAnsi="Times New Roman"/>
                <w:sz w:val="24"/>
                <w:szCs w:val="24"/>
              </w:rPr>
              <w:t>Repulping</w:t>
            </w:r>
            <w:proofErr w:type="spellEnd"/>
            <w:r w:rsidRPr="008A2A3F">
              <w:rPr>
                <w:rFonts w:hAnsi="Times New Roman"/>
                <w:sz w:val="24"/>
                <w:szCs w:val="24"/>
              </w:rPr>
              <w:t xml:space="preserve"> </w:t>
            </w:r>
            <w:proofErr w:type="spellStart"/>
            <w:r w:rsidRPr="008A2A3F">
              <w:rPr>
                <w:rFonts w:hAnsi="Times New Roman"/>
                <w:sz w:val="24"/>
                <w:szCs w:val="24"/>
              </w:rPr>
              <w:t>and</w:t>
            </w:r>
            <w:proofErr w:type="spellEnd"/>
            <w:r w:rsidRPr="008A2A3F">
              <w:rPr>
                <w:rFonts w:hAnsi="Times New Roman"/>
                <w:sz w:val="24"/>
                <w:szCs w:val="24"/>
              </w:rPr>
              <w:t xml:space="preserve"> </w:t>
            </w:r>
            <w:proofErr w:type="spellStart"/>
            <w:r w:rsidRPr="008A2A3F">
              <w:rPr>
                <w:rFonts w:hAnsi="Times New Roman"/>
                <w:sz w:val="24"/>
                <w:szCs w:val="24"/>
              </w:rPr>
              <w:t>Recycling</w:t>
            </w:r>
            <w:proofErr w:type="spellEnd"/>
            <w:r w:rsidRPr="008A2A3F">
              <w:rPr>
                <w:rFonts w:hAnsi="Times New Roman"/>
                <w:sz w:val="24"/>
                <w:szCs w:val="24"/>
              </w:rPr>
              <w:t xml:space="preserve"> </w:t>
            </w:r>
            <w:proofErr w:type="spellStart"/>
            <w:r w:rsidRPr="008A2A3F">
              <w:rPr>
                <w:rFonts w:hAnsi="Times New Roman"/>
                <w:sz w:val="24"/>
                <w:szCs w:val="24"/>
              </w:rPr>
              <w:t>Corrugated</w:t>
            </w:r>
            <w:proofErr w:type="spellEnd"/>
            <w:r w:rsidRPr="008A2A3F">
              <w:rPr>
                <w:rFonts w:hAnsi="Times New Roman"/>
                <w:sz w:val="24"/>
                <w:szCs w:val="24"/>
              </w:rPr>
              <w:t xml:space="preserve"> </w:t>
            </w:r>
            <w:proofErr w:type="spellStart"/>
            <w:r w:rsidRPr="008A2A3F">
              <w:rPr>
                <w:rFonts w:hAnsi="Times New Roman"/>
                <w:sz w:val="24"/>
                <w:szCs w:val="24"/>
              </w:rPr>
              <w:t>Fiberboard</w:t>
            </w:r>
            <w:proofErr w:type="spellEnd"/>
            <w:r w:rsidRPr="008A2A3F">
              <w:rPr>
                <w:rFonts w:hAnsi="Times New Roman"/>
                <w:sz w:val="24"/>
                <w:szCs w:val="24"/>
              </w:rPr>
              <w:t xml:space="preserve"> </w:t>
            </w:r>
            <w:proofErr w:type="spellStart"/>
            <w:r w:rsidRPr="008A2A3F">
              <w:rPr>
                <w:rFonts w:hAnsi="Times New Roman"/>
                <w:sz w:val="24"/>
                <w:szCs w:val="24"/>
              </w:rPr>
              <w:t>Treated</w:t>
            </w:r>
            <w:proofErr w:type="spellEnd"/>
            <w:r w:rsidRPr="008A2A3F">
              <w:rPr>
                <w:rFonts w:hAnsi="Times New Roman"/>
                <w:sz w:val="24"/>
                <w:szCs w:val="24"/>
              </w:rPr>
              <w:t xml:space="preserve"> to </w:t>
            </w:r>
            <w:proofErr w:type="spellStart"/>
            <w:r w:rsidRPr="008A2A3F">
              <w:rPr>
                <w:rFonts w:hAnsi="Times New Roman"/>
                <w:sz w:val="24"/>
                <w:szCs w:val="24"/>
              </w:rPr>
              <w:t>Improve</w:t>
            </w:r>
            <w:proofErr w:type="spellEnd"/>
            <w:r w:rsidRPr="008A2A3F">
              <w:rPr>
                <w:rFonts w:hAnsi="Times New Roman"/>
                <w:sz w:val="24"/>
                <w:szCs w:val="24"/>
              </w:rPr>
              <w:t xml:space="preserve"> </w:t>
            </w:r>
            <w:proofErr w:type="spellStart"/>
            <w:r w:rsidRPr="008A2A3F">
              <w:rPr>
                <w:rFonts w:hAnsi="Times New Roman"/>
                <w:sz w:val="24"/>
                <w:szCs w:val="24"/>
              </w:rPr>
              <w:t>Its</w:t>
            </w:r>
            <w:proofErr w:type="spellEnd"/>
            <w:r w:rsidRPr="008A2A3F">
              <w:rPr>
                <w:rFonts w:hAnsi="Times New Roman"/>
                <w:sz w:val="24"/>
                <w:szCs w:val="24"/>
              </w:rPr>
              <w:t xml:space="preserve"> </w:t>
            </w:r>
            <w:proofErr w:type="spellStart"/>
            <w:r w:rsidRPr="008A2A3F">
              <w:rPr>
                <w:rFonts w:hAnsi="Times New Roman"/>
                <w:sz w:val="24"/>
                <w:szCs w:val="24"/>
              </w:rPr>
              <w:t>Performance</w:t>
            </w:r>
            <w:proofErr w:type="spellEnd"/>
            <w:r w:rsidRPr="008A2A3F">
              <w:rPr>
                <w:rFonts w:hAnsi="Times New Roman"/>
                <w:sz w:val="24"/>
                <w:szCs w:val="24"/>
              </w:rPr>
              <w:t xml:space="preserve"> </w:t>
            </w:r>
            <w:proofErr w:type="spellStart"/>
            <w:r w:rsidRPr="008A2A3F">
              <w:rPr>
                <w:rFonts w:hAnsi="Times New Roman"/>
                <w:sz w:val="24"/>
                <w:szCs w:val="24"/>
              </w:rPr>
              <w:t>in</w:t>
            </w:r>
            <w:proofErr w:type="spellEnd"/>
            <w:r w:rsidRPr="008A2A3F">
              <w:rPr>
                <w:rFonts w:hAnsi="Times New Roman"/>
                <w:sz w:val="24"/>
                <w:szCs w:val="24"/>
              </w:rPr>
              <w:t xml:space="preserve"> </w:t>
            </w:r>
            <w:proofErr w:type="spellStart"/>
            <w:r w:rsidRPr="008A2A3F">
              <w:rPr>
                <w:rFonts w:hAnsi="Times New Roman"/>
                <w:sz w:val="24"/>
                <w:szCs w:val="24"/>
              </w:rPr>
              <w:t>the</w:t>
            </w:r>
            <w:proofErr w:type="spellEnd"/>
            <w:r w:rsidRPr="008A2A3F">
              <w:rPr>
                <w:rFonts w:hAnsi="Times New Roman"/>
                <w:sz w:val="24"/>
                <w:szCs w:val="24"/>
              </w:rPr>
              <w:t xml:space="preserve"> </w:t>
            </w:r>
            <w:proofErr w:type="spellStart"/>
            <w:r w:rsidRPr="008A2A3F">
              <w:rPr>
                <w:rFonts w:hAnsi="Times New Roman"/>
                <w:sz w:val="24"/>
                <w:szCs w:val="24"/>
              </w:rPr>
              <w:t>Presence</w:t>
            </w:r>
            <w:proofErr w:type="spellEnd"/>
            <w:r w:rsidRPr="008A2A3F">
              <w:rPr>
                <w:rFonts w:hAnsi="Times New Roman"/>
                <w:sz w:val="24"/>
                <w:szCs w:val="24"/>
              </w:rPr>
              <w:t xml:space="preserve"> </w:t>
            </w:r>
            <w:proofErr w:type="spellStart"/>
            <w:r w:rsidRPr="008A2A3F">
              <w:rPr>
                <w:rFonts w:hAnsi="Times New Roman"/>
                <w:sz w:val="24"/>
                <w:szCs w:val="24"/>
              </w:rPr>
              <w:t>of</w:t>
            </w:r>
            <w:proofErr w:type="spellEnd"/>
            <w:r w:rsidRPr="008A2A3F">
              <w:rPr>
                <w:rFonts w:hAnsi="Times New Roman"/>
                <w:sz w:val="24"/>
                <w:szCs w:val="24"/>
              </w:rPr>
              <w:t xml:space="preserve"> </w:t>
            </w:r>
            <w:proofErr w:type="spellStart"/>
            <w:r w:rsidRPr="008A2A3F">
              <w:rPr>
                <w:rFonts w:hAnsi="Times New Roman"/>
                <w:sz w:val="24"/>
                <w:szCs w:val="24"/>
              </w:rPr>
              <w:t>Water</w:t>
            </w:r>
            <w:proofErr w:type="spellEnd"/>
            <w:r w:rsidRPr="008A2A3F">
              <w:rPr>
                <w:rFonts w:hAnsi="Times New Roman"/>
                <w:sz w:val="24"/>
                <w:szCs w:val="24"/>
              </w:rPr>
              <w:t xml:space="preserve"> </w:t>
            </w:r>
            <w:proofErr w:type="spellStart"/>
            <w:r w:rsidRPr="008A2A3F">
              <w:rPr>
                <w:rFonts w:hAnsi="Times New Roman"/>
                <w:sz w:val="24"/>
                <w:szCs w:val="24"/>
              </w:rPr>
              <w:t>and</w:t>
            </w:r>
            <w:proofErr w:type="spellEnd"/>
            <w:r w:rsidRPr="008A2A3F">
              <w:rPr>
                <w:rFonts w:hAnsi="Times New Roman"/>
                <w:sz w:val="24"/>
                <w:szCs w:val="24"/>
              </w:rPr>
              <w:t xml:space="preserve"> </w:t>
            </w:r>
            <w:proofErr w:type="spellStart"/>
            <w:r w:rsidRPr="008A2A3F">
              <w:rPr>
                <w:rFonts w:hAnsi="Times New Roman"/>
                <w:sz w:val="24"/>
                <w:szCs w:val="24"/>
              </w:rPr>
              <w:t>Water</w:t>
            </w:r>
            <w:proofErr w:type="spellEnd"/>
            <w:r w:rsidRPr="008A2A3F">
              <w:rPr>
                <w:rFonts w:hAnsi="Times New Roman"/>
                <w:sz w:val="24"/>
                <w:szCs w:val="24"/>
              </w:rPr>
              <w:t xml:space="preserve"> </w:t>
            </w:r>
            <w:proofErr w:type="spellStart"/>
            <w:r w:rsidRPr="008A2A3F">
              <w:rPr>
                <w:rFonts w:hAnsi="Times New Roman"/>
                <w:sz w:val="24"/>
                <w:szCs w:val="24"/>
              </w:rPr>
              <w:t>Vapor</w:t>
            </w:r>
            <w:proofErr w:type="spellEnd"/>
            <w:r w:rsidRPr="008A2A3F">
              <w:rPr>
                <w:rFonts w:hAnsi="Times New Roman"/>
                <w:sz w:val="24"/>
                <w:szCs w:val="24"/>
              </w:rPr>
              <w:t xml:space="preserve">, standartas </w:t>
            </w:r>
            <w:proofErr w:type="spellStart"/>
            <w:r w:rsidRPr="008A2A3F">
              <w:rPr>
                <w:rFonts w:hAnsi="Times New Roman"/>
                <w:sz w:val="24"/>
                <w:szCs w:val="24"/>
              </w:rPr>
              <w:t>RecyClass</w:t>
            </w:r>
            <w:proofErr w:type="spellEnd"/>
            <w:r w:rsidRPr="008A2A3F">
              <w:rPr>
                <w:rFonts w:hAnsi="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723357" w:rsidRPr="00156175" w:rsidRDefault="00723357" w:rsidP="008C3E67">
            <w:pPr>
              <w:spacing w:after="160" w:line="259" w:lineRule="auto"/>
              <w:jc w:val="both"/>
              <w:rPr>
                <w:rFonts w:hAnsi="Times New Roman"/>
                <w:sz w:val="24"/>
                <w:szCs w:val="24"/>
              </w:rPr>
            </w:pPr>
            <w:r w:rsidRPr="00156175">
              <w:rPr>
                <w:rFonts w:hAnsi="Times New Roman"/>
                <w:b/>
                <w:sz w:val="24"/>
                <w:szCs w:val="24"/>
                <w:u w:val="single"/>
              </w:rPr>
              <w:t xml:space="preserve">Pateikiama </w:t>
            </w:r>
            <w:r>
              <w:rPr>
                <w:rFonts w:hAnsi="Times New Roman"/>
                <w:b/>
                <w:sz w:val="24"/>
                <w:szCs w:val="24"/>
                <w:u w:val="single"/>
              </w:rPr>
              <w:t>jei prekės yra pakuojamos.</w:t>
            </w:r>
          </w:p>
        </w:tc>
      </w:tr>
    </w:tbl>
    <w:p w:rsidR="00723357" w:rsidRDefault="00723357" w:rsidP="00723357"/>
    <w:p w:rsidR="00723357" w:rsidRDefault="00723357" w:rsidP="00723357"/>
    <w:p w:rsidR="00542F1D" w:rsidRDefault="00542F1D"/>
    <w:sectPr w:rsidR="00542F1D" w:rsidSect="00723357">
      <w:headerReference w:type="default" r:id="rId6"/>
      <w:headerReference w:type="first" r:id="rId7"/>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3357" w:rsidRDefault="00723357" w:rsidP="00723357">
      <w:pPr>
        <w:spacing w:after="0" w:line="240" w:lineRule="auto"/>
      </w:pPr>
      <w:r>
        <w:separator/>
      </w:r>
    </w:p>
  </w:endnote>
  <w:endnote w:type="continuationSeparator" w:id="0">
    <w:p w:rsidR="00723357" w:rsidRDefault="00723357" w:rsidP="0072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3357" w:rsidRDefault="00723357" w:rsidP="00723357">
      <w:pPr>
        <w:spacing w:after="0" w:line="240" w:lineRule="auto"/>
      </w:pPr>
      <w:r>
        <w:separator/>
      </w:r>
    </w:p>
  </w:footnote>
  <w:footnote w:type="continuationSeparator" w:id="0">
    <w:p w:rsidR="00723357" w:rsidRDefault="00723357" w:rsidP="0072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167" w:rsidRDefault="00E82197" w:rsidP="00CC516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FE4" w:rsidRDefault="00723357" w:rsidP="00723357">
    <w:pPr>
      <w:pStyle w:val="Antrats"/>
      <w:jc w:val="right"/>
    </w:pPr>
    <w:r>
      <w:t>S</w:t>
    </w:r>
    <w:r w:rsidRPr="00723357">
      <w:t>pecialiųjų pirkimo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357"/>
    <w:rsid w:val="00310B06"/>
    <w:rsid w:val="00395B66"/>
    <w:rsid w:val="00542F1D"/>
    <w:rsid w:val="00723357"/>
    <w:rsid w:val="00E82197"/>
    <w:rsid w:val="00EE1D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3E703"/>
  <w15:chartTrackingRefBased/>
  <w15:docId w15:val="{EF957C2F-6AB0-4665-BB3C-74EE6CA2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SmartTextTable1">
    <w:name w:val="Smart Text Table1"/>
    <w:basedOn w:val="prastojilentel"/>
    <w:next w:val="Lentelstinklelis"/>
    <w:uiPriority w:val="59"/>
    <w:rsid w:val="0072335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AntratsDiagrama">
    <w:name w:val="Antraštės Diagrama"/>
    <w:basedOn w:val="Numatytasispastraiposriftas"/>
    <w:link w:val="Antrats"/>
    <w:uiPriority w:val="99"/>
    <w:rsid w:val="00723357"/>
    <w:rPr>
      <w:rFonts w:ascii="Calibri" w:eastAsia="SimSun" w:hAnsi="Calibri" w:cs="Times New Roman"/>
      <w:kern w:val="2"/>
      <w:szCs w:val="20"/>
      <w:lang w:eastAsia="lt-LT"/>
    </w:rPr>
  </w:style>
  <w:style w:type="paragraph" w:styleId="Porat">
    <w:name w:val="footer"/>
    <w:basedOn w:val="prastasis"/>
    <w:link w:val="Porat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PoratDiagrama">
    <w:name w:val="Poraštė Diagrama"/>
    <w:basedOn w:val="Numatytasispastraiposriftas"/>
    <w:link w:val="Porat"/>
    <w:uiPriority w:val="99"/>
    <w:rsid w:val="00723357"/>
    <w:rPr>
      <w:rFonts w:ascii="Calibri" w:eastAsia="SimSun" w:hAnsi="Calibri" w:cs="Times New Roman"/>
      <w:kern w:val="2"/>
      <w:szCs w:val="20"/>
      <w:lang w:eastAsia="lt-LT"/>
    </w:rPr>
  </w:style>
  <w:style w:type="table" w:styleId="Lentelstinklelis">
    <w:name w:val="Table Grid"/>
    <w:basedOn w:val="prastojilentel"/>
    <w:uiPriority w:val="39"/>
    <w:rsid w:val="0072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2068</Words>
  <Characters>1179</Characters>
  <Application>Microsoft Office Word</Application>
  <DocSecurity>0</DocSecurity>
  <Lines>9</Lines>
  <Paragraphs>6</Paragraphs>
  <ScaleCrop>false</ScaleCrop>
  <Company>VSDFV (SoDra)</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5</cp:revision>
  <dcterms:created xsi:type="dcterms:W3CDTF">2025-06-19T07:42:00Z</dcterms:created>
  <dcterms:modified xsi:type="dcterms:W3CDTF">2026-03-18T13:00:00Z</dcterms:modified>
</cp:coreProperties>
</file>